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B0BE3" w:rsidRPr="004B0BE3">
        <w:rPr>
          <w:rFonts w:ascii="GHEA Grapalat" w:hAnsi="GHEA Grapalat"/>
          <w:sz w:val="20"/>
        </w:rPr>
        <w:t>Բ8617197878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4B0BE3" w:rsidRPr="004B0BE3">
        <w:rPr>
          <w:rFonts w:ascii="GHEA Grapalat" w:hAnsi="GHEA Grapalat"/>
          <w:sz w:val="20"/>
        </w:rPr>
        <w:t>Բ8617197878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C22A8" w:rsidRPr="004C22A8">
        <w:rPr>
          <w:rFonts w:ascii="GHEA Grapalat" w:hAnsi="GHEA Grapalat"/>
          <w:sz w:val="22"/>
          <w:szCs w:val="22"/>
        </w:rPr>
        <w:t>24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E90145" w:rsidRPr="00E90145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B0BE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0BE3">
              <w:rPr>
                <w:rFonts w:ascii="GHEA Grapalat" w:hAnsi="GHEA Grapalat" w:hint="eastAsia"/>
                <w:sz w:val="20"/>
              </w:rPr>
              <w:t>ООО</w:t>
            </w:r>
            <w:r w:rsidRPr="004B0BE3">
              <w:rPr>
                <w:rFonts w:ascii="GHEA Grapalat" w:hAnsi="GHEA Grapalat"/>
                <w:sz w:val="20"/>
              </w:rPr>
              <w:t xml:space="preserve"> «</w:t>
            </w:r>
            <w:r w:rsidRPr="004B0BE3">
              <w:rPr>
                <w:rFonts w:ascii="GHEA Grapalat" w:hAnsi="GHEA Grapalat" w:hint="eastAsia"/>
                <w:sz w:val="20"/>
              </w:rPr>
              <w:t>Колектив»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C22A8" w:rsidRPr="004C22A8">
        <w:rPr>
          <w:rFonts w:ascii="GHEA Grapalat" w:hAnsi="GHEA Grapalat" w:hint="eastAsia"/>
          <w:sz w:val="20"/>
        </w:rPr>
        <w:t>Для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приема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делегации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ужин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B0BE3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0BE3">
              <w:rPr>
                <w:rFonts w:ascii="GHEA Grapalat" w:hAnsi="GHEA Grapalat" w:hint="eastAsia"/>
                <w:sz w:val="20"/>
              </w:rPr>
              <w:t>ООО</w:t>
            </w:r>
            <w:r w:rsidRPr="004B0BE3">
              <w:rPr>
                <w:rFonts w:ascii="GHEA Grapalat" w:hAnsi="GHEA Grapalat"/>
                <w:sz w:val="20"/>
              </w:rPr>
              <w:t xml:space="preserve"> «</w:t>
            </w:r>
            <w:r w:rsidRPr="004B0BE3">
              <w:rPr>
                <w:rFonts w:ascii="GHEA Grapalat" w:hAnsi="GHEA Grapalat" w:hint="eastAsia"/>
                <w:sz w:val="20"/>
              </w:rPr>
              <w:t>Колектив»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B0BE3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22770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B0BE3" w:rsidRPr="004B0BE3">
        <w:rPr>
          <w:rFonts w:ascii="GHEA Grapalat" w:hAnsi="GHEA Grapalat"/>
          <w:sz w:val="20"/>
        </w:rPr>
        <w:t>Բ8617197878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71" w:rsidRDefault="00B20B71">
      <w:r>
        <w:separator/>
      </w:r>
    </w:p>
  </w:endnote>
  <w:endnote w:type="continuationSeparator" w:id="0">
    <w:p w:rsidR="00B20B71" w:rsidRDefault="00B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B0BE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71" w:rsidRDefault="00B20B71">
      <w:r>
        <w:separator/>
      </w:r>
    </w:p>
  </w:footnote>
  <w:footnote w:type="continuationSeparator" w:id="0">
    <w:p w:rsidR="00B20B71" w:rsidRDefault="00B2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4D1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BE3"/>
    <w:rsid w:val="004B0C88"/>
    <w:rsid w:val="004B2CAE"/>
    <w:rsid w:val="004B7482"/>
    <w:rsid w:val="004C22A8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BDB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C57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0B71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D303A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2018-08-08T07:12:00Z</dcterms:created>
  <dcterms:modified xsi:type="dcterms:W3CDTF">2020-07-01T05:14:00Z</dcterms:modified>
</cp:coreProperties>
</file>